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инцидентов, происшедших на опасных производственных объектах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название организации, эксплуатирующей объект)</w:t>
            </w:r>
          </w:p>
        </w:tc>
      </w:tr>
    </w:tbl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Надзорный орган</w:t>
            </w:r>
          </w:p>
        </w:tc>
        <w:tc>
          <w:tcPr>
            <w:tcW w:w="76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Уральское управление Ростехнадзора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(название территориального органа Службы)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08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8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инцидента, название объекта, регистрационный номер и дата его регистрации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время инцидента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инцидента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 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простоя, часов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Недоотпуск энергии,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кВт·ч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 ущерб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Мероприятия, предложенные комиссией по расследованию причин инцидента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 мероприятий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1 </w:t>
      </w:r>
      <w:r>
        <w:rPr>
          <w:rFonts w:hAnsi="Times New Roman" w:cs="Times New Roman"/>
          <w:color w:val="000000"/>
          <w:sz w:val="24"/>
          <w:szCs w:val="24"/>
        </w:rPr>
        <w:t>Экономический ущерб от аварии (инцидента) включает в себя прямой и экологический ущербы.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12688b7e5df46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